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r w:rsidDel="00000000" w:rsidR="00000000" w:rsidRPr="00000000">
        <w:rPr>
          <w:rFonts w:ascii="Arial" w:cs="Arial" w:eastAsia="Arial" w:hAnsi="Arial"/>
          <w:b w:val="1"/>
          <w:sz w:val="24"/>
          <w:szCs w:val="24"/>
          <w:u w:val="single"/>
        </w:rPr>
        <mc:AlternateContent>
          <mc:Choice Requires="wpg">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11"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25" cy="7560000"/>
                            </a:xfrm>
                          </wpg:grpSpPr>
                          <wps:wsp>
                            <wps:cNvSpPr/>
                            <wps:cNvPr id="5" name="Shape 5"/>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7" name="Shape 7"/>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9" name="Shape 9"/>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1" name="Shape 11"/>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11"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96524</wp:posOffset>
            </wp:positionH>
            <wp:positionV relativeFrom="paragraph">
              <wp:posOffset>1698625</wp:posOffset>
            </wp:positionV>
            <wp:extent cx="1647190" cy="1371600"/>
            <wp:effectExtent b="0" l="0" r="0" t="0"/>
            <wp:wrapNone/>
            <wp:docPr descr="Crown Commercial Service" id="12"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for RM6268 Vehicle Lease, Fleet Management and Salary Sacrifice.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072" w:hRule="atLeast"/>
          <w:tblHeader w:val="0"/>
        </w:trPr>
        <w:tc>
          <w:tcPr/>
          <w:p w:rsidR="00000000" w:rsidDel="00000000" w:rsidP="00000000" w:rsidRDefault="00000000" w:rsidRPr="00000000" w14:paraId="0000000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color w:val="000000"/>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0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0D">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Name]</w:t>
                  </w:r>
                </w:p>
              </w:tc>
            </w:tr>
            <w:tr>
              <w:trPr>
                <w:cantSplit w:val="0"/>
                <w:tblHeader w:val="0"/>
              </w:trPr>
              <w:tc>
                <w:tcPr>
                  <w:shd w:fill="auto" w:val="clear"/>
                </w:tcPr>
                <w:p w:rsidR="00000000" w:rsidDel="00000000" w:rsidP="00000000" w:rsidRDefault="00000000" w:rsidRPr="00000000" w14:paraId="0000000F">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Address]</w:t>
                  </w:r>
                </w:p>
              </w:tc>
            </w:tr>
            <w:tr>
              <w:trPr>
                <w:cantSplit w:val="0"/>
                <w:tblHeader w:val="0"/>
              </w:trPr>
              <w:tc>
                <w:tcPr>
                  <w:shd w:fill="auto" w:val="clear"/>
                </w:tcPr>
                <w:p w:rsidR="00000000" w:rsidDel="00000000" w:rsidP="00000000" w:rsidRDefault="00000000" w:rsidRPr="00000000" w14:paraId="00000011">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p w:rsidR="00000000" w:rsidDel="00000000" w:rsidP="00000000" w:rsidRDefault="00000000" w:rsidRPr="00000000" w14:paraId="0000001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Registration]</w:t>
                  </w:r>
                </w:p>
              </w:tc>
            </w:tr>
            <w:tr>
              <w:trPr>
                <w:cantSplit w:val="0"/>
                <w:tblHeader w:val="0"/>
              </w:trPr>
              <w:tc>
                <w:tcPr>
                  <w:shd w:fill="auto" w:val="clear"/>
                </w:tcPr>
                <w:p w:rsidR="00000000" w:rsidDel="00000000" w:rsidP="00000000" w:rsidRDefault="00000000" w:rsidRPr="00000000" w14:paraId="00000013">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p w:rsidR="00000000" w:rsidDel="00000000" w:rsidP="00000000" w:rsidRDefault="00000000" w:rsidRPr="00000000" w14:paraId="0000001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SID4GOV ID]</w:t>
                  </w:r>
                </w:p>
              </w:tc>
            </w:tr>
            <w:tr>
              <w:trPr>
                <w:cantSplit w:val="0"/>
                <w:tblHeader w:val="0"/>
              </w:trPr>
              <w:tc>
                <w:tcPr>
                  <w:shd w:fill="auto" w:val="clear"/>
                </w:tcPr>
                <w:p w:rsidR="00000000" w:rsidDel="00000000" w:rsidP="00000000" w:rsidRDefault="00000000" w:rsidRPr="00000000" w14:paraId="00000015">
                  <w:pPr>
                    <w:spacing w:after="0" w:lineRule="auto"/>
                    <w:ind w:left="-75"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17">
            <w:pPr>
              <w:spacing w:after="0" w:lineRule="auto"/>
              <w:rPr>
                <w:rFonts w:ascii="Arial" w:cs="Arial" w:eastAsia="Arial" w:hAnsi="Arial"/>
                <w:color w:val="000000"/>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8">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bookmarkStart w:colFirst="0" w:colLast="0" w:name="_heading=h.1fob9te" w:id="0"/>
            <w:bookmarkEnd w:id="0"/>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[Lot]. You cannot deliver in any other Lot under this contract. Any references made to other Lots in this contract do not apply.] </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2022/S 000-020086 (FTS Contract Notice).</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1E">
            <w:pPr>
              <w:keepNext w:val="1"/>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scope of the framework covers the provision of lease vehicles up to 3.5 tonnes; the lease of specialist, commercial and municipal vehicles up to and including 7.5 tonnes (and over 7.5 tonnes); and the provision of independent fleet management services and salary sacrifice vehicle car schemes in the United Kingdom of Great Britain and Northern Ireland (UK). </w:t>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ind w:left="58"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Lot 1</w:t>
            </w:r>
            <w:r w:rsidDel="00000000" w:rsidR="00000000" w:rsidRPr="00000000">
              <w:rPr>
                <w:rFonts w:ascii="Arial" w:cs="Arial" w:eastAsia="Arial" w:hAnsi="Arial"/>
                <w:color w:val="000000"/>
                <w:sz w:val="24"/>
                <w:szCs w:val="24"/>
                <w:rtl w:val="0"/>
              </w:rPr>
              <w:t xml:space="preserve"> provides the lease of passenger and light commercial vehicles up to 3.5 tonnes, including related lease management services and other associated services. </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Suppliers on this lot will provide leased vehicles on an ad hoc basis or for a fixed term as specified by individual Buyers. Suppliers may choose to provide fleet management services under this lot although this is not a mandatory requirement.</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Lot 2a</w:t>
            </w:r>
            <w:r w:rsidDel="00000000" w:rsidR="00000000" w:rsidRPr="00000000">
              <w:rPr>
                <w:rFonts w:ascii="Arial" w:cs="Arial" w:eastAsia="Arial" w:hAnsi="Arial"/>
                <w:color w:val="000000"/>
                <w:sz w:val="24"/>
                <w:szCs w:val="24"/>
                <w:rtl w:val="0"/>
              </w:rPr>
              <w:t xml:space="preserve"> provides the lease of specialist, commercial and municipal vehicles up to but not including 7.5 tonnes including related lease management services and other associated services. </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Suppliers on this lot will provide leased vehicles on an ad hoc basis or for a fixed term as specified by individual Buyers. Suppliers may choose to provide fleet management services under this lot, although this is not a mandatory requirement.</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Lot 2b</w:t>
            </w:r>
            <w:r w:rsidDel="00000000" w:rsidR="00000000" w:rsidRPr="00000000">
              <w:rPr>
                <w:rFonts w:ascii="Arial" w:cs="Arial" w:eastAsia="Arial" w:hAnsi="Arial"/>
                <w:color w:val="000000"/>
                <w:sz w:val="24"/>
                <w:szCs w:val="24"/>
                <w:rtl w:val="0"/>
              </w:rPr>
              <w:t xml:space="preserve"> provides the lease of specialist, commercial and municipal vehicles 7.5 tonnes and over including related lease management services and other associated services. </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Suppliers on this lot will provide leased vehicles on an ad hoc basis or for a fixed term as specified by individual Buyers. Suppliers may choose to provide fleet management services under this lot, although this is not a mandatory requirement.</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3 </w:t>
            </w:r>
            <w:r w:rsidDel="00000000" w:rsidR="00000000" w:rsidRPr="00000000">
              <w:rPr>
                <w:rFonts w:ascii="Arial" w:cs="Arial" w:eastAsia="Arial" w:hAnsi="Arial"/>
                <w:color w:val="000000"/>
                <w:sz w:val="24"/>
                <w:szCs w:val="24"/>
                <w:rtl w:val="0"/>
              </w:rPr>
              <w:t xml:space="preserve">provides independent fleet management services for passenger and commercial vehicles including, but not limited to, the sourcing of purchased vehicles from RM6060 (or the new agreement RM6244) and leased vehicles from Lots 1, 2a and 2b of this agreement. Suppliers are not permitted to fund vehicles themselves.</w:t>
            </w:r>
            <w:r w:rsidDel="00000000" w:rsidR="00000000" w:rsidRPr="00000000">
              <w:rPr>
                <w:rFonts w:ascii="Arial" w:cs="Arial" w:eastAsia="Arial" w:hAnsi="Arial"/>
                <w:b w:val="1"/>
                <w:color w:val="000000"/>
                <w:sz w:val="24"/>
                <w:szCs w:val="24"/>
                <w:rtl w:val="0"/>
              </w:rPr>
              <w:t xml:space="preserve"> </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Suppliers on this lot will offer:</w:t>
            </w:r>
          </w:p>
          <w:p w:rsidR="00000000" w:rsidDel="00000000" w:rsidP="00000000" w:rsidRDefault="00000000" w:rsidRPr="00000000" w14:paraId="0000002D">
            <w:pPr>
              <w:numPr>
                <w:ilvl w:val="0"/>
                <w:numId w:val="2"/>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managed service to the Buyer, with sole responsibility for providing Fleet Management services for the Buyer’s fleet. Suppliers will provide vehicles on contract hire (or other funding arrangements)</w:t>
            </w:r>
          </w:p>
          <w:p w:rsidR="00000000" w:rsidDel="00000000" w:rsidP="00000000" w:rsidRDefault="00000000" w:rsidRPr="00000000" w14:paraId="0000002E">
            <w:pPr>
              <w:numPr>
                <w:ilvl w:val="0"/>
                <w:numId w:val="2"/>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fully inclusive, end to end fleet management service which is not connected to a leasing contract.</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Lot 4 </w:t>
            </w:r>
            <w:r w:rsidDel="00000000" w:rsidR="00000000" w:rsidRPr="00000000">
              <w:rPr>
                <w:rFonts w:ascii="Arial" w:cs="Arial" w:eastAsia="Arial" w:hAnsi="Arial"/>
                <w:color w:val="000000"/>
                <w:sz w:val="24"/>
                <w:szCs w:val="24"/>
                <w:rtl w:val="0"/>
              </w:rPr>
              <w:t xml:space="preserve">provides salary sacrifice car schemes that are tailored to meet the Buyer’s organisational needs and promote the uptake of ultra-low and zero emission vehicles to eligible employees. </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Suppliers on this lot will implement, manage and market the Buyer’s scheme and support the Buyer to meet their organisational policy and environmental commitments as well as their obligations under the Government's Road to Zero targets.</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 on each lot. </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35">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9">
            <w:pPr>
              <w:spacing w:after="0" w:lineRule="auto"/>
              <w:ind w:right="936"/>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7th February 2023</w:t>
            </w:r>
          </w:p>
        </w:tc>
      </w:tr>
      <w:tr>
        <w:trPr>
          <w:cantSplit w:val="0"/>
          <w:trHeight w:val="60" w:hRule="atLeast"/>
          <w:tblHeader w:val="0"/>
        </w:trPr>
        <w:tc>
          <w:tcPr/>
          <w:p w:rsidR="00000000" w:rsidDel="00000000" w:rsidP="00000000" w:rsidRDefault="00000000" w:rsidRPr="00000000" w14:paraId="0000003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D">
            <w:pPr>
              <w:spacing w:after="0" w:lineRule="auto"/>
              <w:ind w:right="936"/>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6th February 2027</w:t>
            </w:r>
          </w:p>
        </w:tc>
      </w:tr>
      <w:tr>
        <w:trPr>
          <w:cantSplit w:val="0"/>
          <w:trHeight w:val="471" w:hRule="atLeast"/>
          <w:tblHeader w:val="0"/>
        </w:trPr>
        <w:tc>
          <w:tcPr/>
          <w:p w:rsidR="00000000" w:rsidDel="00000000" w:rsidP="00000000" w:rsidRDefault="00000000" w:rsidRPr="00000000" w14:paraId="0000003E">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43">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applicable.</w:t>
            </w:r>
          </w:p>
        </w:tc>
      </w:tr>
      <w:tr>
        <w:trPr>
          <w:cantSplit w:val="0"/>
          <w:trHeight w:val="837" w:hRule="atLeast"/>
          <w:tblHeader w:val="0"/>
        </w:trPr>
        <w:tc>
          <w:tcPr/>
          <w:p w:rsidR="00000000" w:rsidDel="00000000" w:rsidP="00000000" w:rsidRDefault="00000000" w:rsidRPr="00000000" w14:paraId="0000004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47">
            <w:pPr>
              <w:numPr>
                <w:ilvl w:val="0"/>
                <w:numId w:val="3"/>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 </w:t>
            </w:r>
          </w:p>
          <w:p w:rsidR="00000000" w:rsidDel="00000000" w:rsidP="00000000" w:rsidRDefault="00000000" w:rsidRPr="00000000" w14:paraId="00000048">
            <w:pPr>
              <w:numPr>
                <w:ilvl w:val="0"/>
                <w:numId w:val="3"/>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partially re-opening competition </w:t>
            </w:r>
          </w:p>
          <w:p w:rsidR="00000000" w:rsidDel="00000000" w:rsidP="00000000" w:rsidRDefault="00000000" w:rsidRPr="00000000" w14:paraId="00000049">
            <w:pPr>
              <w:numPr>
                <w:ilvl w:val="0"/>
                <w:numId w:val="3"/>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w:t>
              <w:br w:type="textWrapping"/>
            </w:r>
          </w:p>
          <w:p w:rsidR="00000000" w:rsidDel="00000000" w:rsidP="00000000" w:rsidRDefault="00000000" w:rsidRPr="00000000" w14:paraId="0000004A">
            <w:pPr>
              <w:spacing w:after="0" w:lineRule="auto"/>
              <w:ind w:right="93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4B">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4D">
            <w:pPr>
              <w:spacing w:after="0" w:line="259"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E">
            <w:pPr>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p>
          <w:p w:rsidR="00000000" w:rsidDel="00000000" w:rsidP="00000000" w:rsidRDefault="00000000" w:rsidRPr="00000000" w14:paraId="0000004F">
            <w:pPr>
              <w:spacing w:after="0" w:line="259"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0">
            <w:pPr>
              <w:spacing w:after="0" w:line="259"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1">
            <w:pPr>
              <w:spacing w:after="0" w:line="259"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2">
            <w:pPr>
              <w:spacing w:after="0" w:line="259"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3">
            <w:pPr>
              <w:spacing w:after="0" w:line="259"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4">
            <w:pPr>
              <w:spacing w:after="0" w:line="259"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5">
            <w:pPr>
              <w:spacing w:after="0" w:line="259"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6">
            <w:pPr>
              <w:spacing w:after="0" w:line="259"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7">
            <w:pPr>
              <w:spacing w:after="0" w:line="259"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8">
            <w:pPr>
              <w:spacing w:after="0" w:line="259"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9">
            <w:pPr>
              <w:spacing w:after="0" w:line="259"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A">
            <w:pPr>
              <w:spacing w:after="0" w:line="259"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B">
            <w:pPr>
              <w:spacing w:after="0" w:line="259"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C">
            <w:pPr>
              <w:spacing w:after="0" w:line="259"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D">
            <w:pPr>
              <w:spacing w:after="0" w:line="259"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E">
            <w:pPr>
              <w:spacing w:after="0" w:line="259"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60">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61">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62">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RM6268 </w:t>
            </w:r>
          </w:p>
          <w:p w:rsidR="00000000" w:rsidDel="00000000" w:rsidP="00000000" w:rsidRDefault="00000000" w:rsidRPr="00000000" w14:paraId="00000063">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RM6268</w:t>
            </w:r>
          </w:p>
          <w:p w:rsidR="00000000" w:rsidDel="00000000" w:rsidP="00000000" w:rsidRDefault="00000000" w:rsidRPr="00000000" w14:paraId="00000064">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RM6268 (in equal order of precedence):</w:t>
            </w:r>
          </w:p>
          <w:p w:rsidR="00000000" w:rsidDel="00000000" w:rsidP="00000000" w:rsidRDefault="00000000" w:rsidRPr="00000000" w14:paraId="00000065">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66">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67">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68">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69">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and Framework Schedule 6A (Simple Order Form Template and Call-Off Schedules) including the following template Call-Off Schedules: </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w:t>
              <w:tab/>
              <w:t xml:space="preserve">          </w:t>
              <w:tab/>
              <w:t xml:space="preserve"> </w:t>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(Pricing Details)</w:t>
              <w:tab/>
              <w:t xml:space="preserve">          </w:t>
            </w:r>
          </w:p>
          <w:p w:rsidR="00000000" w:rsidDel="00000000" w:rsidP="00000000" w:rsidRDefault="00000000" w:rsidRPr="00000000" w14:paraId="0000006F">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w:t>
            </w:r>
          </w:p>
          <w:p w:rsidR="00000000" w:rsidDel="00000000" w:rsidP="00000000" w:rsidRDefault="00000000" w:rsidRPr="00000000" w14:paraId="00000070">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t xml:space="preserve"> </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 xml:space="preserve">               </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19 (Scottish Law)</w:t>
              <w:tab/>
              <w:tab/>
              <w:t xml:space="preserve">      </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     </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    </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22 (Lease Terms)                 </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Terms)                        </w:t>
            </w:r>
          </w:p>
          <w:p w:rsidR="00000000" w:rsidDel="00000000" w:rsidP="00000000" w:rsidRDefault="00000000" w:rsidRPr="00000000" w14:paraId="0000007C">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7D">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7E">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 </w:t>
            </w:r>
          </w:p>
          <w:p w:rsidR="00000000" w:rsidDel="00000000" w:rsidP="00000000" w:rsidRDefault="00000000" w:rsidRPr="00000000" w14:paraId="0000007F">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80">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81">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82">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83">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p>
          <w:p w:rsidR="00000000" w:rsidDel="00000000" w:rsidP="00000000" w:rsidRDefault="00000000" w:rsidRPr="00000000" w14:paraId="00000084">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85">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86">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087">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88">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RM6268</w:t>
            </w:r>
          </w:p>
          <w:p w:rsidR="00000000" w:rsidDel="00000000" w:rsidP="00000000" w:rsidRDefault="00000000" w:rsidRPr="00000000" w14:paraId="00000089">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RM6268 as long as any part of the Framework Tender that offers a better commercial position for CCS or Buyers (as decided by CCS) take precedence over the documents above </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vMerge w:val="restart"/>
          </w:tcPr>
          <w:p w:rsidR="00000000" w:rsidDel="00000000" w:rsidP="00000000" w:rsidRDefault="00000000" w:rsidRPr="00000000" w14:paraId="0000008B">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vMerge w:val="restart"/>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Core Terms are modified in respect of the Call-Off Contract (but are not modified in respect of the Framework Contract).</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line="240" w:lineRule="auto"/>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For Lots 1, 2a, 2b and 3</w:t>
            </w:r>
            <w:r w:rsidDel="00000000" w:rsidR="00000000" w:rsidRPr="00000000">
              <w:rPr>
                <w:rtl w:val="0"/>
              </w:rPr>
            </w:r>
          </w:p>
        </w:tc>
      </w:tr>
      <w:tr>
        <w:trPr>
          <w:cantSplit w:val="0"/>
          <w:trHeight w:val="525" w:hRule="atLeast"/>
          <w:tblHeader w:val="0"/>
        </w:trPr>
        <w:tc>
          <w:tcPr>
            <w:vMerge w:val="continue"/>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5">
            <w:pPr>
              <w:spacing w:after="120" w:line="240" w:lineRule="auto"/>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Special Term 1 - Clause 3.1.2 does not apply to the Call-Off Contract;</w:t>
            </w:r>
            <w:r w:rsidDel="00000000" w:rsidR="00000000" w:rsidRPr="00000000">
              <w:rPr>
                <w:rtl w:val="0"/>
              </w:rPr>
            </w:r>
          </w:p>
        </w:tc>
      </w:tr>
      <w:tr>
        <w:trPr>
          <w:cantSplit w:val="0"/>
          <w:trHeight w:val="406" w:hRule="atLeast"/>
          <w:tblHeader w:val="0"/>
        </w:trPr>
        <w:tc>
          <w:tcPr>
            <w:vMerge w:val="continue"/>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4"/>
                <w:szCs w:val="24"/>
              </w:rPr>
            </w:pPr>
            <w:r w:rsidDel="00000000" w:rsidR="00000000" w:rsidRPr="00000000">
              <w:rPr>
                <w:rtl w:val="0"/>
              </w:rPr>
            </w:r>
          </w:p>
        </w:tc>
        <w:tc>
          <w:tcPr>
            <w:vMerge w:val="continue"/>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9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2 - Clause 3.2 does not apply to the Call-Off Contract;</w:t>
            </w:r>
          </w:p>
        </w:tc>
      </w:tr>
      <w:tr>
        <w:trPr>
          <w:cantSplit w:val="0"/>
          <w:trHeight w:val="341" w:hRule="atLeast"/>
          <w:tblHeader w:val="0"/>
        </w:trPr>
        <w:tc>
          <w:tcPr>
            <w:vMerge w:val="continue"/>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Special Term 3 - Clause 8.7 does not apply to the Call-Off Contract;</w:t>
            </w:r>
            <w:r w:rsidDel="00000000" w:rsidR="00000000" w:rsidRPr="00000000">
              <w:rPr>
                <w:rtl w:val="0"/>
              </w:rPr>
            </w:r>
          </w:p>
        </w:tc>
      </w:tr>
      <w:tr>
        <w:trPr>
          <w:cantSplit w:val="0"/>
          <w:trHeight w:val="688" w:hRule="atLeast"/>
          <w:tblHeader w:val="0"/>
        </w:trPr>
        <w:tc>
          <w:tcPr>
            <w:vMerge w:val="continue"/>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9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4 - Clause 10.1.2 does not apply to the Buyer extending the Lease Period of any Equipment;</w:t>
            </w:r>
          </w:p>
        </w:tc>
      </w:tr>
      <w:tr>
        <w:trPr>
          <w:cantSplit w:val="0"/>
          <w:trHeight w:val="686" w:hRule="atLeast"/>
          <w:tblHeader w:val="0"/>
        </w:trPr>
        <w:tc>
          <w:tcPr>
            <w:vMerge w:val="continue"/>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Special Term 5 - Clause 10.2.2 does not apply to the Buyer terminating the hire of any Equipment; and</w:t>
            </w:r>
            <w:r w:rsidDel="00000000" w:rsidR="00000000" w:rsidRPr="00000000">
              <w:rPr>
                <w:rtl w:val="0"/>
              </w:rPr>
            </w:r>
          </w:p>
        </w:tc>
      </w:tr>
      <w:tr>
        <w:trPr>
          <w:cantSplit w:val="0"/>
          <w:trHeight w:val="666" w:hRule="atLeast"/>
          <w:tblHeader w:val="0"/>
        </w:trPr>
        <w:tc>
          <w:tcPr>
            <w:vMerge w:val="continue"/>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A4">
            <w:pPr>
              <w:spacing w:after="24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Special Term 6 - Clause 11.3 does not apply where the Buyer must pay a Settlement Sum, a Termination Sum or any amount under paragraph 11 in Schedule 22 (Lease Terms).</w:t>
            </w:r>
            <w:r w:rsidDel="00000000" w:rsidR="00000000" w:rsidRPr="00000000">
              <w:rPr>
                <w:rtl w:val="0"/>
              </w:rPr>
            </w:r>
          </w:p>
        </w:tc>
      </w:tr>
      <w:tr>
        <w:trPr>
          <w:cantSplit w:val="0"/>
          <w:trHeight w:val="690" w:hRule="atLeast"/>
          <w:tblHeader w:val="0"/>
        </w:trPr>
        <w:tc>
          <w:tcPr>
            <w:vMerge w:val="continue"/>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vAlign w:val="bottom"/>
          </w:tcPr>
          <w:p w:rsidR="00000000" w:rsidDel="00000000" w:rsidP="00000000" w:rsidRDefault="00000000" w:rsidRPr="00000000" w14:paraId="000000A7">
            <w:pPr>
              <w:spacing w:after="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Lot 4 only</w:t>
            </w:r>
          </w:p>
        </w:tc>
      </w:tr>
      <w:tr>
        <w:trPr>
          <w:cantSplit w:val="0"/>
          <w:trHeight w:val="690" w:hRule="atLeast"/>
          <w:tblHeader w:val="0"/>
        </w:trPr>
        <w:tc>
          <w:tcPr>
            <w:vMerge w:val="continue"/>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4"/>
                <w:szCs w:val="24"/>
              </w:rPr>
            </w:pPr>
            <w:r w:rsidDel="00000000" w:rsidR="00000000" w:rsidRPr="00000000">
              <w:rPr>
                <w:rtl w:val="0"/>
              </w:rPr>
            </w:r>
          </w:p>
        </w:tc>
        <w:tc>
          <w:tcPr>
            <w:vMerge w:val="continue"/>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A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1 - Clause 3.1.2 does not apply to the Call-Off Contract;</w:t>
            </w:r>
          </w:p>
        </w:tc>
      </w:tr>
      <w:tr>
        <w:trPr>
          <w:cantSplit w:val="0"/>
          <w:trHeight w:val="690" w:hRule="atLeast"/>
          <w:tblHeader w:val="0"/>
        </w:trPr>
        <w:tc>
          <w:tcPr>
            <w:vMerge w:val="continue"/>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2 - Clause 3.2 does not apply to the Call-Off Contract;</w:t>
            </w:r>
          </w:p>
        </w:tc>
      </w:tr>
      <w:tr>
        <w:trPr>
          <w:cantSplit w:val="0"/>
          <w:trHeight w:val="690" w:hRule="atLeast"/>
          <w:tblHeader w:val="0"/>
        </w:trPr>
        <w:tc>
          <w:tcPr>
            <w:vMerge w:val="continue"/>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3 - Clause 8.7 does not apply to the Call-Off Contract;</w:t>
            </w:r>
          </w:p>
        </w:tc>
      </w:tr>
      <w:tr>
        <w:trPr>
          <w:cantSplit w:val="0"/>
          <w:trHeight w:val="690" w:hRule="atLeast"/>
          <w:tblHeader w:val="0"/>
        </w:trPr>
        <w:tc>
          <w:tcPr>
            <w:vMerge w:val="continue"/>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4 - Clause 10.1.2 does not apply to the Employee User extending the Lease Period of any Equipment;</w:t>
            </w:r>
          </w:p>
        </w:tc>
      </w:tr>
      <w:tr>
        <w:trPr>
          <w:cantSplit w:val="0"/>
          <w:trHeight w:val="690" w:hRule="atLeast"/>
          <w:tblHeader w:val="0"/>
        </w:trPr>
        <w:tc>
          <w:tcPr>
            <w:vMerge w:val="continue"/>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5 - Clause 10.2.2 does not apply to the Employee User terminating the hire of any Equipment; and</w:t>
            </w:r>
          </w:p>
        </w:tc>
      </w:tr>
      <w:tr>
        <w:trPr>
          <w:cantSplit w:val="0"/>
          <w:trHeight w:val="690" w:hRule="atLeast"/>
          <w:tblHeader w:val="0"/>
        </w:trPr>
        <w:tc>
          <w:tcPr>
            <w:vMerge w:val="continue"/>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6 - Clause 11.3 does not apply where the Buyer must pay a Settlement Sum, a Termination Sum or any amount defined as part of the terms of the Call-Off Contract.</w:t>
            </w:r>
          </w:p>
        </w:tc>
      </w:tr>
      <w:tr>
        <w:trPr>
          <w:cantSplit w:val="0"/>
          <w:trHeight w:val="55" w:hRule="atLeast"/>
          <w:tblHeader w:val="0"/>
        </w:trPr>
        <w:tc>
          <w:tcPr/>
          <w:p w:rsidR="00000000" w:rsidDel="00000000" w:rsidP="00000000" w:rsidRDefault="00000000" w:rsidRPr="00000000" w14:paraId="000000B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r w:rsidDel="00000000" w:rsidR="00000000" w:rsidRPr="00000000">
              <w:rPr>
                <w:rtl w:val="0"/>
              </w:rPr>
            </w:r>
          </w:p>
        </w:tc>
      </w:tr>
      <w:tr>
        <w:trPr>
          <w:cantSplit w:val="0"/>
          <w:trHeight w:val="569" w:hRule="atLeast"/>
          <w:tblHeader w:val="0"/>
        </w:trPr>
        <w:tc>
          <w:tcPr/>
          <w:p w:rsidR="00000000" w:rsidDel="00000000" w:rsidP="00000000" w:rsidRDefault="00000000" w:rsidRPr="00000000" w14:paraId="000000BD">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C0">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Cyber Essentials Scheme Basic Certificate (or acceptable alternative). Details in Framework Schedule 9 (Cyber Essentials Scheme)</w:t>
            </w:r>
            <w:r w:rsidDel="00000000" w:rsidR="00000000" w:rsidRPr="00000000">
              <w:rPr>
                <w:rtl w:val="0"/>
              </w:rPr>
            </w:r>
          </w:p>
        </w:tc>
      </w:tr>
      <w:tr>
        <w:trPr>
          <w:cantSplit w:val="0"/>
          <w:trHeight w:val="731" w:hRule="atLeast"/>
          <w:tblHeader w:val="0"/>
        </w:trPr>
        <w:tc>
          <w:tcPr/>
          <w:p w:rsidR="00000000" w:rsidDel="00000000" w:rsidP="00000000" w:rsidRDefault="00000000" w:rsidRPr="00000000" w14:paraId="000000C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C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Lots 1, 2a and 2b the Supplier will pay, excluding VAT, </w:t>
            </w:r>
            <w:r w:rsidDel="00000000" w:rsidR="00000000" w:rsidRPr="00000000">
              <w:rPr>
                <w:rFonts w:ascii="Arial" w:cs="Arial" w:eastAsia="Arial" w:hAnsi="Arial"/>
                <w:b w:val="1"/>
                <w:color w:val="000000"/>
                <w:sz w:val="24"/>
                <w:szCs w:val="24"/>
                <w:rtl w:val="0"/>
              </w:rPr>
              <w:t xml:space="preserve">0.5</w:t>
            </w:r>
            <w:r w:rsidDel="00000000" w:rsidR="00000000" w:rsidRPr="00000000">
              <w:rPr>
                <w:rFonts w:ascii="Arial" w:cs="Arial" w:eastAsia="Arial" w:hAnsi="Arial"/>
                <w:color w:val="000000"/>
                <w:sz w:val="24"/>
                <w:szCs w:val="24"/>
                <w:rtl w:val="0"/>
              </w:rPr>
              <w:t xml:space="preserve">% of all the Charges for the Deliverables invoiced to the Buyer under all Call-Off Contracts. </w:t>
            </w:r>
          </w:p>
          <w:p w:rsidR="00000000" w:rsidDel="00000000" w:rsidP="00000000" w:rsidRDefault="00000000" w:rsidRPr="00000000" w14:paraId="000000C7">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For Lots 3 and 4 the Supplier will pay, excluding VAT, </w:t>
            </w:r>
            <w:r w:rsidDel="00000000" w:rsidR="00000000" w:rsidRPr="00000000">
              <w:rPr>
                <w:rFonts w:ascii="Arial" w:cs="Arial" w:eastAsia="Arial" w:hAnsi="Arial"/>
                <w:b w:val="1"/>
                <w:color w:val="000000"/>
                <w:sz w:val="24"/>
                <w:szCs w:val="24"/>
                <w:rtl w:val="0"/>
              </w:rPr>
              <w:t xml:space="preserve">0.5</w:t>
            </w:r>
            <w:r w:rsidDel="00000000" w:rsidR="00000000" w:rsidRPr="00000000">
              <w:rPr>
                <w:rFonts w:ascii="Arial" w:cs="Arial" w:eastAsia="Arial" w:hAnsi="Arial"/>
                <w:color w:val="000000"/>
                <w:sz w:val="24"/>
                <w:szCs w:val="24"/>
                <w:rtl w:val="0"/>
              </w:rPr>
              <w:t xml:space="preserve">% of all the Charges for the Deliverables invoiced to the Buyer under all Call-Off Contracts except where the Supplier is sourcing the vehicle from Lot 1 of the RM6268 agreement. In this instance the Supplier will pay, excluding VAT, </w:t>
            </w:r>
            <w:r w:rsidDel="00000000" w:rsidR="00000000" w:rsidRPr="00000000">
              <w:rPr>
                <w:rFonts w:ascii="Arial" w:cs="Arial" w:eastAsia="Arial" w:hAnsi="Arial"/>
                <w:b w:val="1"/>
                <w:color w:val="000000"/>
                <w:sz w:val="24"/>
                <w:szCs w:val="24"/>
                <w:rtl w:val="0"/>
              </w:rPr>
              <w:t xml:space="preserve">0.5</w:t>
            </w:r>
            <w:r w:rsidDel="00000000" w:rsidR="00000000" w:rsidRPr="00000000">
              <w:rPr>
                <w:rFonts w:ascii="Arial" w:cs="Arial" w:eastAsia="Arial" w:hAnsi="Arial"/>
                <w:color w:val="000000"/>
                <w:sz w:val="24"/>
                <w:szCs w:val="24"/>
                <w:rtl w:val="0"/>
              </w:rPr>
              <w:t xml:space="preserve">% of the Management Fee for the Deliverables invoiced to the Buyer under all Call-Off Contracts.</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8">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C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C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C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C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0D0">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D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D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D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D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0D7">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D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D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D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D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0DE">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E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E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E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E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r>
        <w:trPr>
          <w:cantSplit w:val="0"/>
          <w:trHeight w:val="694" w:hRule="atLeast"/>
          <w:tblHeader w:val="0"/>
        </w:trPr>
        <w:tc>
          <w:tcPr/>
          <w:p w:rsidR="00000000" w:rsidDel="00000000" w:rsidP="00000000" w:rsidRDefault="00000000" w:rsidRPr="00000000" w14:paraId="000000E5">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E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tc>
      </w:tr>
      <w:tr>
        <w:trPr>
          <w:cantSplit w:val="0"/>
          <w:trHeight w:val="1333" w:hRule="atLeast"/>
          <w:tblHeader w:val="0"/>
        </w:trPr>
        <w:tc>
          <w:tcPr/>
          <w:p w:rsidR="00000000" w:rsidDel="00000000" w:rsidP="00000000" w:rsidRDefault="00000000" w:rsidRPr="00000000" w14:paraId="000000E8">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E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E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E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E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0EF">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F1">
            <w:pPr>
              <w:spacing w:after="120" w:before="12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‘If Applicable - Please see embedded folder within the Framework</w:t>
            </w:r>
          </w:p>
          <w:p w:rsidR="00000000" w:rsidDel="00000000" w:rsidP="00000000" w:rsidRDefault="00000000" w:rsidRPr="00000000" w14:paraId="000000F2">
            <w:pPr>
              <w:spacing w:after="120" w:before="12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Contract Documents folder’.</w:t>
            </w:r>
          </w:p>
          <w:p w:rsidR="00000000" w:rsidDel="00000000" w:rsidP="00000000" w:rsidRDefault="00000000" w:rsidRPr="00000000" w14:paraId="000000F3">
            <w:pPr>
              <w:spacing w:after="120" w:before="120" w:lineRule="auto"/>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F4">
            <w:pPr>
              <w:spacing w:after="120" w:before="120" w:lineRule="auto"/>
              <w:rPr>
                <w:rFonts w:ascii="Arial" w:cs="Arial" w:eastAsia="Arial" w:hAnsi="Arial"/>
                <w:color w:val="000000"/>
                <w:sz w:val="24"/>
                <w:szCs w:val="24"/>
                <w:highlight w:val="yellow"/>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F5">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F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F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F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F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bl>
    <w:p w:rsidR="00000000" w:rsidDel="00000000" w:rsidP="00000000" w:rsidRDefault="00000000" w:rsidRPr="00000000" w14:paraId="000000F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D">
      <w:pPr>
        <w:rPr>
          <w:rFonts w:ascii="Arial" w:cs="Arial" w:eastAsia="Arial" w:hAnsi="Arial"/>
          <w:sz w:val="24"/>
          <w:szCs w:val="24"/>
        </w:rPr>
      </w:pPr>
      <w:r w:rsidDel="00000000" w:rsidR="00000000" w:rsidRPr="00000000">
        <w:rPr>
          <w:rtl w:val="0"/>
        </w:rPr>
      </w:r>
    </w:p>
    <w:tbl>
      <w:tblPr>
        <w:tblStyle w:val="Table3"/>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FE">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0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104">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0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10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8">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0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0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10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E">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0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110">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1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11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14">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r>
    </w:tbl>
    <w:p w:rsidR="00000000" w:rsidDel="00000000" w:rsidP="00000000" w:rsidRDefault="00000000" w:rsidRPr="00000000" w14:paraId="00000118">
      <w:pPr>
        <w:pBdr>
          <w:top w:space="0" w:sz="0" w:val="nil"/>
          <w:left w:space="0" w:sz="0" w:val="nil"/>
          <w:bottom w:space="0" w:sz="0" w:val="nil"/>
          <w:right w:space="0" w:sz="0" w:val="nil"/>
          <w:between w:space="0" w:sz="0" w:val="nil"/>
        </w:pBdr>
        <w:ind w:left="792" w:firstLine="0"/>
        <w:rPr>
          <w:rFonts w:ascii="Arial" w:cs="Arial" w:eastAsia="Arial" w:hAnsi="Arial"/>
          <w:i w:val="1"/>
          <w:color w:val="000000"/>
        </w:rPr>
        <w:sectPr>
          <w:type w:val="nextPage"/>
          <w:pgSz w:h="16838" w:w="11906" w:orient="portrait"/>
          <w:pgMar w:bottom="1440" w:top="1440" w:left="1440" w:right="1440" w:header="720" w:footer="720"/>
        </w:sectPr>
      </w:pPr>
      <w:r w:rsidDel="00000000" w:rsidR="00000000" w:rsidRPr="00000000">
        <w:rPr>
          <w:rtl w:val="0"/>
        </w:rPr>
      </w:r>
    </w:p>
    <w:p w:rsidR="00000000" w:rsidDel="00000000" w:rsidP="00000000" w:rsidRDefault="00000000" w:rsidRPr="00000000" w14:paraId="00000119">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bookmarkStart w:colFirst="0" w:colLast="0" w:name="_heading=h.gjdgxs" w:id="1"/>
      <w:bookmarkEnd w:id="1"/>
      <w:r w:rsidDel="00000000" w:rsidR="00000000" w:rsidRPr="00000000">
        <w:rPr>
          <w:rtl w:val="0"/>
        </w:rPr>
      </w:r>
    </w:p>
    <w:sectPr>
      <w:type w:val="continuous"/>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2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2">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3">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12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RM6268 Vehicle Lease, Fleet Management and Salary Sacrifice</w:t>
      <w:tab/>
      <w:t xml:space="preserve">                                           </w:t>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6">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644" w:hanging="357"/>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5">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pPr>
    <w:rPr>
      <w:lang w:eastAsia="en-US"/>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uiPriority w:val="9"/>
    <w:semiHidden w:val="1"/>
    <w:unhideWhenUsed w:val="1"/>
    <w:qFormat w:val="1"/>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val="1"/>
    <w:unhideWhenUsed w:val="1"/>
    <w:qFormat w:val="1"/>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6"/>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NormalWeb">
    <w:name w:val="Normal (Web)"/>
    <w:basedOn w:val="Normal"/>
    <w:uiPriority w:val="99"/>
    <w:unhideWhenUsed w:val="1"/>
    <w:rsid w:val="00865721"/>
    <w:pPr>
      <w:suppressAutoHyphens w:val="0"/>
      <w:spacing w:after="100" w:afterAutospacing="1" w:before="100" w:beforeAutospacing="1" w:line="240" w:lineRule="auto"/>
    </w:pPr>
    <w:rPr>
      <w:rFonts w:ascii="Times New Roman" w:cs="Times New Roman" w:eastAsia="Times New Roman" w:hAnsi="Times New Roman"/>
      <w:sz w:val="24"/>
      <w:szCs w:val="24"/>
      <w:lang w:eastAsia="en-GB"/>
    </w:r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15.0" w:type="dxa"/>
        <w:bottom w:w="0.0" w:type="dxa"/>
        <w:right w:w="115.0" w:type="dxa"/>
      </w:tblCellMar>
    </w:tblPr>
  </w:style>
  <w:style w:type="table" w:styleId="Table2">
    <w:basedOn w:val="TableNormal"/>
    <w:rPr>
      <w:color w:val="366091"/>
    </w:rPr>
    <w:tblPr>
      <w:tblStyleRowBandSize w:val="1"/>
      <w:tblStyleColBandSize w:val="1"/>
      <w:tblCellMar>
        <w:top w:w="0.0" w:type="dxa"/>
        <w:left w:w="115.0" w:type="dxa"/>
        <w:bottom w:w="0.0" w:type="dxa"/>
        <w:right w:w="115.0" w:type="dxa"/>
      </w:tblCellMar>
    </w:tblPr>
  </w:style>
  <w:style w:type="table" w:styleId="Table3">
    <w:basedOn w:val="TableNormal"/>
    <w:rPr>
      <w:color w:val="366091"/>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1.xml"/><Relationship Id="rId12" Type="http://schemas.openxmlformats.org/officeDocument/2006/relationships/image" Target="media/image1.png"/><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FvHhCpiOvwfXIyCDycl/nW16QNQ==">AMUW2mWqdeQ3E8PGcnQkgmctmeYGyUgXtnNcnicwX6TsYNyvgxuBAGjABEiez1/mZ+Y04QvPpakhT0ruzI4iLg93tTXdmQB74CB4s87IJpcTEYtWdLafbq/aNJTbvNhGFOrVzzHTha9c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2023-01-18T09:27:00Z</dcterms:created>
  <dc:creator>Janine Cato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